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C5" w:rsidRPr="001C2DC2" w:rsidRDefault="00B516C5" w:rsidP="00B516C5">
      <w:pPr>
        <w:jc w:val="center"/>
        <w:rPr>
          <w:rFonts w:asciiTheme="majorHAnsi" w:hAnsiTheme="majorHAnsi" w:cs="Arial"/>
          <w:b/>
          <w:sz w:val="44"/>
          <w:szCs w:val="44"/>
        </w:rPr>
      </w:pPr>
      <w:proofErr w:type="spellStart"/>
      <w:r w:rsidRPr="001C2DC2">
        <w:rPr>
          <w:rFonts w:asciiTheme="majorHAnsi" w:hAnsiTheme="majorHAnsi" w:cs="Arial"/>
          <w:b/>
          <w:sz w:val="44"/>
          <w:szCs w:val="44"/>
        </w:rPr>
        <w:t>Lionsgate</w:t>
      </w:r>
      <w:proofErr w:type="spellEnd"/>
      <w:r w:rsidRPr="001C2DC2">
        <w:rPr>
          <w:rFonts w:asciiTheme="majorHAnsi" w:hAnsiTheme="majorHAnsi" w:cs="Arial"/>
          <w:b/>
          <w:sz w:val="44"/>
          <w:szCs w:val="44"/>
        </w:rPr>
        <w:t xml:space="preserve"> Academy</w:t>
      </w:r>
    </w:p>
    <w:p w:rsidR="00B516C5" w:rsidRPr="001C2DC2" w:rsidRDefault="00B516C5" w:rsidP="00B516C5">
      <w:pPr>
        <w:rPr>
          <w:rFonts w:asciiTheme="majorHAnsi" w:hAnsiTheme="majorHAnsi" w:cs="Arial"/>
          <w:sz w:val="24"/>
          <w:szCs w:val="24"/>
        </w:rPr>
      </w:pPr>
      <w:r w:rsidRPr="001C2DC2">
        <w:rPr>
          <w:rFonts w:asciiTheme="majorHAnsi" w:hAnsiTheme="majorHAnsi" w:cs="Arial"/>
          <w:b/>
        </w:rPr>
        <w:t>Course Name:</w:t>
      </w:r>
      <w:r w:rsidRPr="001C2DC2">
        <w:rPr>
          <w:rFonts w:asciiTheme="majorHAnsi" w:hAnsiTheme="majorHAnsi" w:cs="Arial"/>
        </w:rPr>
        <w:t xml:space="preserve"> </w:t>
      </w:r>
      <w:r w:rsidRPr="001C2DC2">
        <w:rPr>
          <w:rFonts w:asciiTheme="majorHAnsi" w:hAnsiTheme="majorHAnsi" w:cs="Arial"/>
          <w:sz w:val="24"/>
          <w:szCs w:val="24"/>
        </w:rPr>
        <w:t>Speech/Communications</w:t>
      </w:r>
    </w:p>
    <w:p w:rsidR="00B516C5" w:rsidRPr="001C2DC2" w:rsidRDefault="00B516C5" w:rsidP="00B516C5">
      <w:pPr>
        <w:rPr>
          <w:rFonts w:asciiTheme="majorHAnsi" w:hAnsiTheme="majorHAnsi" w:cs="Arial"/>
        </w:rPr>
      </w:pPr>
      <w:r w:rsidRPr="001C2DC2">
        <w:rPr>
          <w:rFonts w:asciiTheme="majorHAnsi" w:hAnsiTheme="majorHAnsi" w:cs="Arial"/>
          <w:b/>
        </w:rPr>
        <w:t>Instructor:</w:t>
      </w:r>
      <w:r w:rsidRPr="001C2DC2">
        <w:rPr>
          <w:rFonts w:asciiTheme="majorHAnsi" w:hAnsiTheme="majorHAnsi" w:cs="Arial"/>
        </w:rPr>
        <w:t xml:space="preserve"> Sarah Wojciechowski-Prill</w:t>
      </w:r>
    </w:p>
    <w:p w:rsidR="00B516C5" w:rsidRPr="001C2DC2" w:rsidRDefault="00B516C5" w:rsidP="00B516C5">
      <w:pPr>
        <w:rPr>
          <w:rFonts w:asciiTheme="majorHAnsi" w:hAnsiTheme="majorHAnsi" w:cs="Arial"/>
        </w:rPr>
      </w:pPr>
      <w:r w:rsidRPr="001C2DC2">
        <w:rPr>
          <w:rFonts w:asciiTheme="majorHAnsi" w:hAnsiTheme="majorHAnsi" w:cs="Arial"/>
          <w:b/>
        </w:rPr>
        <w:t>Course duration:</w:t>
      </w:r>
      <w:r w:rsidRPr="001C2DC2">
        <w:rPr>
          <w:rFonts w:asciiTheme="majorHAnsi" w:hAnsiTheme="majorHAnsi" w:cs="Arial"/>
        </w:rPr>
        <w:t xml:space="preserve"> February 2</w:t>
      </w:r>
      <w:r w:rsidRPr="001C2DC2">
        <w:rPr>
          <w:rFonts w:asciiTheme="majorHAnsi" w:hAnsiTheme="majorHAnsi" w:cs="Arial"/>
          <w:vertAlign w:val="superscript"/>
        </w:rPr>
        <w:t>nd</w:t>
      </w:r>
      <w:r w:rsidRPr="001C2DC2">
        <w:rPr>
          <w:rFonts w:asciiTheme="majorHAnsi" w:hAnsiTheme="majorHAnsi" w:cs="Arial"/>
        </w:rPr>
        <w:t>- April 16</w:t>
      </w:r>
      <w:r w:rsidRPr="001C2DC2">
        <w:rPr>
          <w:rFonts w:asciiTheme="majorHAnsi" w:hAnsiTheme="majorHAnsi" w:cs="Arial"/>
          <w:vertAlign w:val="superscript"/>
        </w:rPr>
        <w:t>th</w:t>
      </w:r>
    </w:p>
    <w:p w:rsidR="00B516C5" w:rsidRPr="001C2DC2" w:rsidRDefault="00B516C5" w:rsidP="00B516C5">
      <w:pPr>
        <w:spacing w:before="100" w:beforeAutospacing="1" w:after="100" w:afterAutospacing="1" w:line="240" w:lineRule="auto"/>
        <w:rPr>
          <w:rFonts w:asciiTheme="majorHAnsi" w:hAnsiTheme="majorHAnsi" w:cs="Arial"/>
        </w:rPr>
      </w:pPr>
      <w:r w:rsidRPr="001C2DC2">
        <w:rPr>
          <w:rFonts w:asciiTheme="majorHAnsi" w:hAnsiTheme="majorHAnsi" w:cs="Arial"/>
          <w:b/>
        </w:rPr>
        <w:t>Course description:</w:t>
      </w:r>
      <w:r w:rsidRPr="001C2DC2">
        <w:rPr>
          <w:rFonts w:asciiTheme="majorHAnsi" w:hAnsiTheme="majorHAnsi" w:cs="Arial"/>
        </w:rPr>
        <w:t xml:space="preserve"> </w:t>
      </w:r>
      <w:r w:rsidRPr="001C2DC2">
        <w:rPr>
          <w:rFonts w:asciiTheme="majorHAnsi" w:eastAsia="Times New Roman" w:hAnsiTheme="majorHAnsi" w:cs="Arial"/>
          <w:sz w:val="24"/>
          <w:szCs w:val="24"/>
        </w:rPr>
        <w:t>This course is designed to develop oral communication skills and analytical skills.  Opportunities that will increase fluency as a speaker and develop self-confidence will be provided on a daily basis.  The course will introduce the students to a study of the mechanics of speech construction as well as expression</w:t>
      </w:r>
      <w:r w:rsidRPr="001C2DC2">
        <w:rPr>
          <w:rFonts w:asciiTheme="majorHAnsi" w:eastAsia="Times New Roman" w:hAnsiTheme="majorHAnsi"/>
          <w:sz w:val="24"/>
          <w:szCs w:val="24"/>
        </w:rPr>
        <w:t xml:space="preserve"> of ideas in a clear, concise and persuasive manner.  This course will also explore the role that the bias and persuasion has played in media and society.  </w:t>
      </w:r>
      <w:r w:rsidR="0051519A">
        <w:rPr>
          <w:rFonts w:asciiTheme="majorHAnsi" w:eastAsia="Times New Roman" w:hAnsiTheme="majorHAnsi"/>
          <w:sz w:val="24"/>
          <w:szCs w:val="24"/>
        </w:rPr>
        <w:t xml:space="preserve">This course will also provide opportunities to practice listening and </w:t>
      </w:r>
      <w:proofErr w:type="gramStart"/>
      <w:r w:rsidR="0051519A">
        <w:rPr>
          <w:rFonts w:asciiTheme="majorHAnsi" w:eastAsia="Times New Roman" w:hAnsiTheme="majorHAnsi"/>
          <w:sz w:val="24"/>
          <w:szCs w:val="24"/>
        </w:rPr>
        <w:t>peer</w:t>
      </w:r>
      <w:proofErr w:type="gramEnd"/>
      <w:r w:rsidR="0051519A">
        <w:rPr>
          <w:rFonts w:asciiTheme="majorHAnsi" w:eastAsia="Times New Roman" w:hAnsiTheme="majorHAnsi"/>
          <w:sz w:val="24"/>
          <w:szCs w:val="24"/>
        </w:rPr>
        <w:t xml:space="preserve"> feedback.</w:t>
      </w:r>
    </w:p>
    <w:p w:rsidR="00B516C5" w:rsidRPr="001C2DC2" w:rsidRDefault="00B516C5" w:rsidP="00B516C5">
      <w:pPr>
        <w:rPr>
          <w:rFonts w:asciiTheme="majorHAnsi" w:hAnsiTheme="majorHAnsi"/>
          <w:b/>
        </w:rPr>
      </w:pPr>
      <w:r w:rsidRPr="001C2DC2">
        <w:rPr>
          <w:rFonts w:asciiTheme="majorHAnsi" w:hAnsiTheme="majorHAnsi"/>
          <w:b/>
        </w:rPr>
        <w:t>State Standards developed in this course: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Understand the need for effective public speaking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Understand the difference between different types of speaking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Demonstrate a development of skills in oral expression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Use research skills in the preparation of speeches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Understand the importance of organization in speech writing and delivery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Demonstrate active listening skills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Learn the fundamentals of theory and terminology associated with public speaking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Provide oral experiences that increase self esteem in interpersonal as well as public forums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Help students think creatively and independently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Distinguish between speaker’s opinion and verifiable facts and analyze the credibility of the presentation.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Deliver a speech in a logical manner using grammatically correct language, including vocabulary appropriate to the topic, audience and purpose.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Understand the relationship between nonverbal, interpersonal, and small group communication.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Describe the role of communication in everyday situations (e.g., advertising, informal social, business, formal social, etc.)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Understand the effects of media on society and culture.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Identify and understand essential elements, skills and implications of persuasion, argumentation, and debate as essential oral skills. </w:t>
      </w:r>
    </w:p>
    <w:p w:rsidR="00B516C5" w:rsidRPr="001C2DC2" w:rsidRDefault="00B516C5" w:rsidP="00B516C5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Theme="majorHAnsi" w:eastAsia="Times New Roman" w:hAnsiTheme="majorHAnsi"/>
          <w:sz w:val="24"/>
          <w:szCs w:val="24"/>
        </w:rPr>
      </w:pPr>
      <w:r w:rsidRPr="001C2DC2">
        <w:rPr>
          <w:rFonts w:asciiTheme="majorHAnsi" w:eastAsia="Times New Roman" w:hAnsiTheme="majorHAnsi"/>
          <w:sz w:val="24"/>
          <w:szCs w:val="24"/>
        </w:rPr>
        <w:t xml:space="preserve">Apply assessment criteria to self-evaluation of oral presentations. </w:t>
      </w:r>
    </w:p>
    <w:p w:rsidR="00B516C5" w:rsidRPr="001C2DC2" w:rsidRDefault="00B516C5" w:rsidP="00B516C5">
      <w:pPr>
        <w:rPr>
          <w:rFonts w:asciiTheme="majorHAnsi" w:hAnsiTheme="majorHAnsi"/>
        </w:rPr>
      </w:pPr>
    </w:p>
    <w:p w:rsidR="003553DE" w:rsidRDefault="003553DE" w:rsidP="00B516C5">
      <w:pPr>
        <w:rPr>
          <w:rFonts w:asciiTheme="majorHAnsi" w:hAnsiTheme="majorHAnsi"/>
        </w:rPr>
      </w:pPr>
    </w:p>
    <w:p w:rsidR="001C2DC2" w:rsidRPr="001C2DC2" w:rsidRDefault="001C2DC2" w:rsidP="00B516C5">
      <w:pPr>
        <w:rPr>
          <w:rFonts w:asciiTheme="majorHAnsi" w:hAnsiTheme="majorHAnsi"/>
        </w:rPr>
      </w:pPr>
    </w:p>
    <w:p w:rsidR="00B516C5" w:rsidRPr="001C2DC2" w:rsidRDefault="00B516C5" w:rsidP="00B516C5">
      <w:pPr>
        <w:rPr>
          <w:rFonts w:asciiTheme="majorHAnsi" w:hAnsiTheme="majorHAnsi"/>
          <w:b/>
        </w:rPr>
      </w:pPr>
      <w:r w:rsidRPr="001C2DC2">
        <w:rPr>
          <w:rFonts w:asciiTheme="majorHAnsi" w:hAnsiTheme="majorHAnsi"/>
          <w:b/>
        </w:rPr>
        <w:lastRenderedPageBreak/>
        <w:t>During this course, the following units will be taught:</w:t>
      </w:r>
    </w:p>
    <w:p w:rsidR="00B516C5" w:rsidRPr="001C2DC2" w:rsidRDefault="00B516C5" w:rsidP="00B516C5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8"/>
        <w:gridCol w:w="2880"/>
        <w:gridCol w:w="2070"/>
        <w:gridCol w:w="2628"/>
      </w:tblGrid>
      <w:tr w:rsidR="00B516C5" w:rsidRPr="001C2DC2" w:rsidTr="00506C8C">
        <w:tc>
          <w:tcPr>
            <w:tcW w:w="1998" w:type="dxa"/>
          </w:tcPr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Unit</w:t>
            </w:r>
          </w:p>
        </w:tc>
        <w:tc>
          <w:tcPr>
            <w:tcW w:w="2880" w:type="dxa"/>
          </w:tcPr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Standards in Unit</w:t>
            </w:r>
          </w:p>
        </w:tc>
        <w:tc>
          <w:tcPr>
            <w:tcW w:w="2070" w:type="dxa"/>
          </w:tcPr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Approximate Time of Unit</w:t>
            </w:r>
          </w:p>
        </w:tc>
        <w:tc>
          <w:tcPr>
            <w:tcW w:w="2628" w:type="dxa"/>
          </w:tcPr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Major Projects</w:t>
            </w:r>
          </w:p>
        </w:tc>
      </w:tr>
      <w:tr w:rsidR="00B516C5" w:rsidRPr="001C2DC2" w:rsidTr="00506C8C">
        <w:tc>
          <w:tcPr>
            <w:tcW w:w="1998" w:type="dxa"/>
          </w:tcPr>
          <w:p w:rsidR="00B516C5" w:rsidRPr="001C2DC2" w:rsidRDefault="00785949" w:rsidP="00B516C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“Getting to Know Me” Exploring</w:t>
            </w:r>
          </w:p>
          <w:p w:rsidR="00785949" w:rsidRPr="001C2DC2" w:rsidRDefault="003553DE" w:rsidP="00B516C5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Interpersonal and Intrap</w:t>
            </w:r>
            <w:r w:rsidR="00785949" w:rsidRPr="001C2DC2">
              <w:rPr>
                <w:rFonts w:asciiTheme="majorHAnsi" w:hAnsiTheme="majorHAnsi"/>
                <w:sz w:val="20"/>
                <w:szCs w:val="20"/>
              </w:rPr>
              <w:t>ersonal Communication</w:t>
            </w:r>
          </w:p>
          <w:p w:rsidR="00B516C5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 w:rsidRPr="001C2DC2">
              <w:rPr>
                <w:rFonts w:asciiTheme="majorHAnsi" w:hAnsiTheme="majorHAnsi"/>
                <w:i/>
                <w:sz w:val="20"/>
                <w:szCs w:val="20"/>
              </w:rPr>
              <w:t>and</w:t>
            </w:r>
          </w:p>
          <w:p w:rsidR="003F7489" w:rsidRPr="001C2DC2" w:rsidRDefault="003F748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“Delivering your Message” Expanding Verbal and Nonverbal Communication Skills</w:t>
            </w:r>
          </w:p>
        </w:tc>
        <w:tc>
          <w:tcPr>
            <w:tcW w:w="2880" w:type="dxa"/>
          </w:tcPr>
          <w:p w:rsidR="003F7489" w:rsidRPr="001C2DC2" w:rsidRDefault="003F7489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 xml:space="preserve">-Understand the need for effective public speaking </w:t>
            </w:r>
          </w:p>
          <w:p w:rsidR="00785949" w:rsidRPr="001C2DC2" w:rsidRDefault="00785949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-Provide oral experiences that increase self esteem in interpersonal as well as public forums</w:t>
            </w:r>
          </w:p>
          <w:p w:rsidR="00785949" w:rsidRPr="001C2DC2" w:rsidRDefault="00785949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-Understand the difference between different types of speaking</w:t>
            </w:r>
          </w:p>
          <w:p w:rsidR="00B516C5" w:rsidRPr="001C2DC2" w:rsidRDefault="00785949" w:rsidP="00785949">
            <w:pPr>
              <w:spacing w:before="100" w:beforeAutospacing="1" w:after="100" w:afterAutospacing="1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-Describe the role of communication in everyday situations (e.g., advertising, informal social, business, formal social, etc.)</w:t>
            </w:r>
            <w:r w:rsidRPr="001C2DC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785949" w:rsidRPr="001C2DC2" w:rsidRDefault="00785949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active listening skills</w:t>
            </w:r>
          </w:p>
          <w:p w:rsidR="00785949" w:rsidRPr="001C2DC2" w:rsidRDefault="00785949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-Help students think creatively and independently</w:t>
            </w:r>
          </w:p>
          <w:p w:rsidR="00506C8C" w:rsidRPr="001C2DC2" w:rsidRDefault="00506C8C" w:rsidP="00785949">
            <w:pPr>
              <w:spacing w:before="100" w:beforeAutospacing="1" w:after="100" w:afterAutospacing="1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-Understand the relationship between nonverbal, interpersonal, and small group communication</w:t>
            </w:r>
          </w:p>
        </w:tc>
        <w:tc>
          <w:tcPr>
            <w:tcW w:w="2070" w:type="dxa"/>
          </w:tcPr>
          <w:p w:rsidR="00B516C5" w:rsidRPr="001C2DC2" w:rsidRDefault="0078594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February 2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nd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>- February 13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</w:tcPr>
          <w:p w:rsidR="00785949" w:rsidRPr="001C2DC2" w:rsidRDefault="00506C8C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</w:t>
            </w:r>
            <w:r w:rsidR="004077DE" w:rsidRPr="001C2DC2">
              <w:rPr>
                <w:rFonts w:asciiTheme="majorHAnsi" w:hAnsiTheme="majorHAnsi"/>
                <w:sz w:val="20"/>
                <w:szCs w:val="20"/>
              </w:rPr>
              <w:t>Listening Exercises</w:t>
            </w:r>
          </w:p>
          <w:p w:rsidR="004077DE" w:rsidRPr="001C2DC2" w:rsidRDefault="00506C8C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</w:t>
            </w:r>
            <w:r w:rsidR="004077DE" w:rsidRPr="001C2DC2">
              <w:rPr>
                <w:rFonts w:asciiTheme="majorHAnsi" w:hAnsiTheme="majorHAnsi"/>
                <w:sz w:val="20"/>
                <w:szCs w:val="20"/>
              </w:rPr>
              <w:t xml:space="preserve">Constructive Criticism 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  Activities</w:t>
            </w:r>
          </w:p>
          <w:p w:rsidR="00506C8C" w:rsidRPr="001C2DC2" w:rsidRDefault="00506C8C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</w:t>
            </w:r>
            <w:r w:rsidR="00785949" w:rsidRPr="001C2DC2">
              <w:rPr>
                <w:rFonts w:asciiTheme="majorHAnsi" w:hAnsiTheme="majorHAnsi"/>
                <w:sz w:val="20"/>
                <w:szCs w:val="20"/>
              </w:rPr>
              <w:t>Terminology worksheet</w:t>
            </w:r>
          </w:p>
          <w:p w:rsidR="00B516C5" w:rsidRPr="001C2DC2" w:rsidRDefault="00506C8C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-Partner Activities and Speeches</w:t>
            </w:r>
            <w:r w:rsidR="00785949"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3C271D" w:rsidRPr="001C2DC2" w:rsidRDefault="003C271D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-Personal Speeches</w:t>
            </w:r>
          </w:p>
        </w:tc>
      </w:tr>
      <w:tr w:rsidR="00B516C5" w:rsidRPr="001C2DC2" w:rsidTr="00506C8C">
        <w:tc>
          <w:tcPr>
            <w:tcW w:w="1998" w:type="dxa"/>
          </w:tcPr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“Great Speeches”</w:t>
            </w:r>
          </w:p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A look at famous speeches in history.</w:t>
            </w:r>
          </w:p>
          <w:p w:rsidR="003F7489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 w:rsidRPr="001C2DC2">
              <w:rPr>
                <w:rFonts w:asciiTheme="majorHAnsi" w:hAnsiTheme="majorHAnsi"/>
                <w:i/>
                <w:sz w:val="20"/>
                <w:szCs w:val="20"/>
              </w:rPr>
              <w:t>and</w:t>
            </w:r>
          </w:p>
          <w:p w:rsidR="003F7489" w:rsidRPr="001C2DC2" w:rsidRDefault="003F748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“The Written and Prepared Speech”</w:t>
            </w:r>
          </w:p>
        </w:tc>
        <w:tc>
          <w:tcPr>
            <w:tcW w:w="2880" w:type="dxa"/>
          </w:tcPr>
          <w:p w:rsidR="00B516C5" w:rsidRPr="001C2DC2" w:rsidRDefault="00B516C5" w:rsidP="00785949">
            <w:pPr>
              <w:pStyle w:val="BodyText"/>
              <w:rPr>
                <w:rFonts w:asciiTheme="majorHAnsi" w:hAnsiTheme="majorHAnsi"/>
                <w:szCs w:val="20"/>
              </w:rPr>
            </w:pPr>
            <w:r w:rsidRPr="001C2DC2">
              <w:rPr>
                <w:rFonts w:asciiTheme="majorHAnsi" w:hAnsiTheme="majorHAnsi"/>
                <w:szCs w:val="20"/>
              </w:rPr>
              <w:t>-Learn the fundamentals of theory and terminology associated with public speaking.</w:t>
            </w:r>
          </w:p>
          <w:p w:rsidR="00785949" w:rsidRPr="001C2DC2" w:rsidRDefault="00785949" w:rsidP="00785949">
            <w:pPr>
              <w:pStyle w:val="BodyText"/>
              <w:rPr>
                <w:rFonts w:asciiTheme="majorHAnsi" w:hAnsiTheme="majorHAnsi"/>
                <w:szCs w:val="20"/>
              </w:rPr>
            </w:pPr>
          </w:p>
          <w:p w:rsidR="00B516C5" w:rsidRPr="001C2DC2" w:rsidRDefault="00B516C5" w:rsidP="00785949">
            <w:pPr>
              <w:pStyle w:val="BodyText"/>
              <w:rPr>
                <w:rFonts w:asciiTheme="majorHAnsi" w:hAnsiTheme="majorHAnsi"/>
                <w:szCs w:val="20"/>
              </w:rPr>
            </w:pPr>
            <w:r w:rsidRPr="001C2DC2">
              <w:rPr>
                <w:rFonts w:asciiTheme="majorHAnsi" w:hAnsiTheme="majorHAnsi"/>
                <w:szCs w:val="20"/>
              </w:rPr>
              <w:t>-Identify and understand essential elements, skills and implications of persuasion, argumentation, and debate as essential oral skills.</w:t>
            </w:r>
          </w:p>
          <w:p w:rsidR="00785949" w:rsidRPr="001C2DC2" w:rsidRDefault="00785949" w:rsidP="00785949">
            <w:pPr>
              <w:pStyle w:val="BodyText"/>
              <w:rPr>
                <w:rFonts w:asciiTheme="majorHAnsi" w:hAnsiTheme="majorHAnsi"/>
                <w:szCs w:val="20"/>
              </w:rPr>
            </w:pPr>
          </w:p>
          <w:p w:rsidR="00B516C5" w:rsidRPr="001C2DC2" w:rsidRDefault="00B516C5" w:rsidP="00785949">
            <w:pPr>
              <w:pStyle w:val="BodyText"/>
              <w:rPr>
                <w:rFonts w:asciiTheme="majorHAnsi" w:hAnsiTheme="majorHAnsi"/>
                <w:szCs w:val="20"/>
              </w:rPr>
            </w:pPr>
            <w:r w:rsidRPr="001C2DC2">
              <w:rPr>
                <w:rFonts w:asciiTheme="majorHAnsi" w:hAnsiTheme="majorHAnsi"/>
                <w:szCs w:val="20"/>
              </w:rPr>
              <w:t>- Understand the effects of media on society and culture.</w:t>
            </w:r>
          </w:p>
          <w:p w:rsidR="00785949" w:rsidRPr="001C2DC2" w:rsidRDefault="00785949" w:rsidP="00785949">
            <w:pPr>
              <w:pStyle w:val="BodyText"/>
              <w:rPr>
                <w:rFonts w:asciiTheme="majorHAnsi" w:hAnsiTheme="majorHAnsi"/>
                <w:szCs w:val="20"/>
              </w:rPr>
            </w:pPr>
          </w:p>
          <w:p w:rsidR="00B516C5" w:rsidRPr="001C2DC2" w:rsidRDefault="00B516C5" w:rsidP="00785949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</w:t>
            </w: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Distinguish between speaker’s opinion and verifiable facts and analyze the credibility of the presentation.</w:t>
            </w:r>
          </w:p>
          <w:p w:rsidR="003F7489" w:rsidRPr="001C2DC2" w:rsidRDefault="003F7489" w:rsidP="003F748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>-Demonstrate active listening skills</w:t>
            </w:r>
          </w:p>
          <w:p w:rsidR="00CA0D12" w:rsidRPr="001C2DC2" w:rsidRDefault="00CA0D12" w:rsidP="003F748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-Apply assessment criteria to self-evaluation of oral presentations</w:t>
            </w:r>
          </w:p>
        </w:tc>
        <w:tc>
          <w:tcPr>
            <w:tcW w:w="2070" w:type="dxa"/>
          </w:tcPr>
          <w:p w:rsidR="00B516C5" w:rsidRPr="001C2DC2" w:rsidRDefault="003C271D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lastRenderedPageBreak/>
              <w:t>February 23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rd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>- March 6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</w:tcPr>
          <w:p w:rsidR="00073416" w:rsidRPr="001C2DC2" w:rsidRDefault="00073416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-View and Analyze Great Speeches from history</w:t>
            </w:r>
          </w:p>
          <w:p w:rsidR="00B516C5" w:rsidRPr="001C2DC2" w:rsidRDefault="00073416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 xml:space="preserve">-“This I Believe” project  </w:t>
            </w:r>
          </w:p>
          <w:p w:rsidR="00073416" w:rsidRPr="001C2DC2" w:rsidRDefault="00073416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516C5" w:rsidRPr="001C2DC2" w:rsidTr="003553DE">
        <w:trPr>
          <w:trHeight w:val="1430"/>
        </w:trPr>
        <w:tc>
          <w:tcPr>
            <w:tcW w:w="1998" w:type="dxa"/>
          </w:tcPr>
          <w:p w:rsidR="00B516C5" w:rsidRPr="001C2DC2" w:rsidRDefault="003F748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lastRenderedPageBreak/>
              <w:t>“Speaking to Inform” Preparing Informative Speeches</w:t>
            </w:r>
          </w:p>
          <w:p w:rsidR="003F7489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 w:rsidRPr="001C2DC2">
              <w:rPr>
                <w:rFonts w:asciiTheme="majorHAnsi" w:hAnsiTheme="majorHAnsi"/>
                <w:i/>
                <w:sz w:val="20"/>
                <w:szCs w:val="20"/>
              </w:rPr>
              <w:t>and</w:t>
            </w:r>
          </w:p>
          <w:p w:rsidR="003F7489" w:rsidRPr="001C2DC2" w:rsidRDefault="003F748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“Power Point Presentations” Using Power Point to enhance Speeches</w:t>
            </w:r>
          </w:p>
        </w:tc>
        <w:tc>
          <w:tcPr>
            <w:tcW w:w="2880" w:type="dxa"/>
          </w:tcPr>
          <w:p w:rsidR="00785949" w:rsidRPr="001C2DC2" w:rsidRDefault="001D3A38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 development of skills in oral expression</w:t>
            </w:r>
          </w:p>
          <w:p w:rsidR="001D3A38" w:rsidRPr="001C2DC2" w:rsidRDefault="001D3A38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-Use research skills in the preparation of speeches</w:t>
            </w:r>
          </w:p>
          <w:p w:rsidR="001D3A38" w:rsidRPr="001C2DC2" w:rsidRDefault="001D3A38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</w:t>
            </w:r>
            <w:r w:rsidR="00CA0D12" w:rsidRPr="001C2DC2">
              <w:rPr>
                <w:rFonts w:asciiTheme="majorHAnsi" w:eastAsia="Times New Roman" w:hAnsiTheme="majorHAnsi"/>
                <w:sz w:val="20"/>
                <w:szCs w:val="20"/>
              </w:rPr>
              <w:t xml:space="preserve"> Understand the importance of organization in speech writing and delivery</w:t>
            </w:r>
          </w:p>
          <w:p w:rsidR="00CA0D12" w:rsidRPr="001C2DC2" w:rsidRDefault="00CA0D12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-Deliver a speech in a logical manner using grammatically correct language, including vocabulary appropriate to the topic, audience and purpose</w:t>
            </w:r>
          </w:p>
          <w:p w:rsidR="001D3A38" w:rsidRPr="001C2DC2" w:rsidRDefault="00CA0D12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 Apply assessment criteria to self-evaluation of oral presentations</w:t>
            </w:r>
          </w:p>
          <w:p w:rsidR="00BD07A8" w:rsidRPr="001C2DC2" w:rsidRDefault="00BD07A8" w:rsidP="0078594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active listening skills</w:t>
            </w:r>
          </w:p>
        </w:tc>
        <w:tc>
          <w:tcPr>
            <w:tcW w:w="2070" w:type="dxa"/>
          </w:tcPr>
          <w:p w:rsidR="00B516C5" w:rsidRPr="001C2DC2" w:rsidRDefault="003F748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March 9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>-20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</w:tcPr>
          <w:p w:rsidR="00B516C5" w:rsidRPr="001C2DC2" w:rsidRDefault="00BD07A8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-Power Point Project</w:t>
            </w:r>
          </w:p>
          <w:p w:rsidR="00BD07A8" w:rsidRPr="001C2DC2" w:rsidRDefault="00BD07A8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-Research activities and exploration</w:t>
            </w:r>
          </w:p>
          <w:p w:rsidR="00BD07A8" w:rsidRPr="001C2DC2" w:rsidRDefault="00BD07A8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-Story mapping and outlines</w:t>
            </w:r>
          </w:p>
          <w:p w:rsidR="00BD07A8" w:rsidRPr="001C2DC2" w:rsidRDefault="00BD07A8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-Enhancing speeches with visual aids</w:t>
            </w:r>
          </w:p>
        </w:tc>
      </w:tr>
      <w:tr w:rsidR="00B516C5" w:rsidRPr="001C2DC2" w:rsidTr="003553DE">
        <w:trPr>
          <w:trHeight w:val="1493"/>
        </w:trPr>
        <w:tc>
          <w:tcPr>
            <w:tcW w:w="1998" w:type="dxa"/>
          </w:tcPr>
          <w:p w:rsidR="00FC5FB0" w:rsidRPr="001C2DC2" w:rsidRDefault="00FC5FB0" w:rsidP="00FC5F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“It’s up for Debate!” Exploring the Debate Process and Learning the Rules of Debate</w:t>
            </w:r>
          </w:p>
          <w:p w:rsidR="00CA0D12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CA0D12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80" w:type="dxa"/>
          </w:tcPr>
          <w:p w:rsidR="00B516C5" w:rsidRPr="001C2DC2" w:rsidRDefault="00CA0D12" w:rsidP="00506C8C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</w:t>
            </w:r>
            <w:r w:rsidR="00BD07A8" w:rsidRPr="001C2DC2">
              <w:rPr>
                <w:rFonts w:asciiTheme="majorHAnsi" w:eastAsia="Times New Roman" w:hAnsiTheme="majorHAnsi"/>
                <w:sz w:val="20"/>
                <w:szCs w:val="20"/>
              </w:rPr>
              <w:t>Apply assessment</w:t>
            </w: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 xml:space="preserve"> criteria to self-evaluation of oral presentations</w:t>
            </w:r>
          </w:p>
          <w:p w:rsidR="00BD07A8" w:rsidRPr="001C2DC2" w:rsidRDefault="00BD07A8" w:rsidP="00BD07A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 development of skills in oral expression</w:t>
            </w:r>
          </w:p>
          <w:p w:rsidR="00BD07A8" w:rsidRPr="001C2DC2" w:rsidRDefault="00BD07A8" w:rsidP="00BD07A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-Use research skills in the preparation of speeches</w:t>
            </w:r>
          </w:p>
          <w:p w:rsidR="00BD07A8" w:rsidRPr="001C2DC2" w:rsidRDefault="00BD07A8" w:rsidP="00BD07A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active listening skills</w:t>
            </w:r>
          </w:p>
          <w:p w:rsidR="00BD07A8" w:rsidRPr="001C2DC2" w:rsidRDefault="00BD07A8" w:rsidP="00BD07A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-Understand the difference between different types of speaking</w:t>
            </w:r>
          </w:p>
          <w:p w:rsidR="00BD07A8" w:rsidRPr="001C2DC2" w:rsidRDefault="00BD07A8" w:rsidP="00BD07A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 xml:space="preserve">-Understand the need for effective public speaking </w:t>
            </w:r>
          </w:p>
        </w:tc>
        <w:tc>
          <w:tcPr>
            <w:tcW w:w="2070" w:type="dxa"/>
          </w:tcPr>
          <w:p w:rsidR="00B516C5" w:rsidRPr="001C2DC2" w:rsidRDefault="003F7489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March 30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-April </w:t>
            </w:r>
            <w:r w:rsidR="00FC5FB0" w:rsidRPr="001C2DC2">
              <w:rPr>
                <w:rFonts w:asciiTheme="majorHAnsi" w:hAnsiTheme="majorHAnsi"/>
                <w:sz w:val="20"/>
                <w:szCs w:val="20"/>
              </w:rPr>
              <w:t>3</w:t>
            </w:r>
            <w:r w:rsidR="00FC5FB0"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rd</w:t>
            </w:r>
            <w:r w:rsidR="00FC5FB0"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</w:tcPr>
          <w:p w:rsidR="00B516C5" w:rsidRPr="001C2DC2" w:rsidRDefault="00B516C5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A0D12" w:rsidRPr="001C2DC2" w:rsidTr="00855967">
        <w:trPr>
          <w:trHeight w:val="1340"/>
        </w:trPr>
        <w:tc>
          <w:tcPr>
            <w:tcW w:w="1998" w:type="dxa"/>
          </w:tcPr>
          <w:p w:rsidR="00FC5FB0" w:rsidRPr="001C2DC2" w:rsidRDefault="00FC5FB0" w:rsidP="00FC5F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 “My Side of the Story” Developing Persuasive Speeches</w:t>
            </w:r>
          </w:p>
          <w:p w:rsidR="00CA0D12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80" w:type="dxa"/>
          </w:tcPr>
          <w:p w:rsidR="00FC5FB0" w:rsidRPr="001C2DC2" w:rsidRDefault="00FC5FB0" w:rsidP="00FC5FB0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 development of skills in oral expression</w:t>
            </w:r>
          </w:p>
          <w:p w:rsidR="00FC5FB0" w:rsidRPr="001C2DC2" w:rsidRDefault="00FC5FB0" w:rsidP="00FC5FB0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-Use research skills in the preparation of speeches</w:t>
            </w:r>
          </w:p>
          <w:p w:rsidR="00FC5FB0" w:rsidRPr="001C2DC2" w:rsidRDefault="00FC5FB0" w:rsidP="00FC5FB0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 Understand the importance of organization in speech writing and delivery</w:t>
            </w:r>
          </w:p>
          <w:p w:rsidR="00FC5FB0" w:rsidRPr="001C2DC2" w:rsidRDefault="00FC5FB0" w:rsidP="00FC5FB0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-Deliver a speech in a logical manner using grammatically correct language, including vocabulary appropriate to the topic, audience and purpose</w:t>
            </w:r>
          </w:p>
          <w:p w:rsidR="00FC5FB0" w:rsidRPr="001C2DC2" w:rsidRDefault="00FC5FB0" w:rsidP="00FC5FB0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  <w:p w:rsidR="00FC5FB0" w:rsidRPr="001C2DC2" w:rsidRDefault="00FC5FB0" w:rsidP="00506C8C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-Apply assessment criteria to self-evaluation of oral presentations</w:t>
            </w:r>
          </w:p>
        </w:tc>
        <w:tc>
          <w:tcPr>
            <w:tcW w:w="2070" w:type="dxa"/>
          </w:tcPr>
          <w:p w:rsidR="00CA0D12" w:rsidRPr="001C2DC2" w:rsidRDefault="00FC5FB0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April 6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>-</w:t>
            </w:r>
            <w:r w:rsidR="00855967" w:rsidRPr="001C2DC2">
              <w:rPr>
                <w:rFonts w:asciiTheme="majorHAnsi" w:hAnsiTheme="majorHAnsi"/>
                <w:sz w:val="20"/>
                <w:szCs w:val="20"/>
              </w:rPr>
              <w:t>9</w:t>
            </w:r>
            <w:r w:rsidR="00855967"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="00855967" w:rsidRPr="001C2DC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</w:tcPr>
          <w:p w:rsidR="00CA0D12" w:rsidRPr="001C2DC2" w:rsidRDefault="00CA0D1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55967" w:rsidRPr="001C2DC2" w:rsidTr="00855967">
        <w:trPr>
          <w:trHeight w:val="1340"/>
        </w:trPr>
        <w:tc>
          <w:tcPr>
            <w:tcW w:w="1998" w:type="dxa"/>
          </w:tcPr>
          <w:p w:rsidR="00855967" w:rsidRPr="001C2DC2" w:rsidRDefault="00DE1A82" w:rsidP="00FC5F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“My dog Ate my Speech!”  Extemporaneous (Unprepared) Speeches</w:t>
            </w:r>
          </w:p>
        </w:tc>
        <w:tc>
          <w:tcPr>
            <w:tcW w:w="2880" w:type="dxa"/>
          </w:tcPr>
          <w:p w:rsidR="00DE1A82" w:rsidRPr="001C2DC2" w:rsidRDefault="00DE1A82" w:rsidP="00DE1A82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-Apply assessment criteria to self-evaluation of oral presentations</w:t>
            </w:r>
          </w:p>
          <w:p w:rsidR="00DE1A82" w:rsidRPr="001C2DC2" w:rsidRDefault="00DE1A82" w:rsidP="00DE1A82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active listening skills</w:t>
            </w:r>
          </w:p>
          <w:p w:rsidR="00DE1A82" w:rsidRPr="001C2DC2" w:rsidRDefault="00DE1A82" w:rsidP="00DE1A82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-Demonstrate a development of skills in oral expression</w:t>
            </w:r>
          </w:p>
          <w:p w:rsidR="00DE1A82" w:rsidRPr="001C2DC2" w:rsidRDefault="00DE1A82" w:rsidP="00DE1A82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-Deliver a speech in a logical manner using grammatically correct language, including vocabulary appropriate to the topic, audience and purpose</w:t>
            </w:r>
          </w:p>
          <w:p w:rsidR="00855967" w:rsidRPr="001C2DC2" w:rsidRDefault="00DE1A82" w:rsidP="00DE1A82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2DC2">
              <w:rPr>
                <w:rFonts w:asciiTheme="majorHAnsi" w:eastAsia="Times New Roman" w:hAnsiTheme="majorHAnsi"/>
                <w:sz w:val="20"/>
                <w:szCs w:val="20"/>
              </w:rPr>
              <w:t>-Apply assessment criteria to self-evaluation of oral presentations</w:t>
            </w:r>
          </w:p>
        </w:tc>
        <w:tc>
          <w:tcPr>
            <w:tcW w:w="2070" w:type="dxa"/>
          </w:tcPr>
          <w:p w:rsidR="00855967" w:rsidRPr="001C2DC2" w:rsidRDefault="00DE1A8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April 15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1C2DC2">
              <w:rPr>
                <w:rFonts w:asciiTheme="majorHAnsi" w:hAnsiTheme="majorHAnsi"/>
                <w:sz w:val="20"/>
                <w:szCs w:val="20"/>
              </w:rPr>
              <w:t xml:space="preserve"> -17</w:t>
            </w:r>
            <w:r w:rsidRPr="001C2DC2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2628" w:type="dxa"/>
          </w:tcPr>
          <w:p w:rsidR="00855967" w:rsidRPr="001C2DC2" w:rsidRDefault="00DE1A8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-Improvisation activities and exercises</w:t>
            </w:r>
          </w:p>
          <w:p w:rsidR="00DE1A82" w:rsidRPr="001C2DC2" w:rsidRDefault="00DE1A8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-Preparing and organizing the Impromptu Speech worksheets and activities</w:t>
            </w:r>
          </w:p>
          <w:p w:rsidR="00DE1A82" w:rsidRPr="001C2DC2" w:rsidRDefault="00DE1A8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 xml:space="preserve">-Role play </w:t>
            </w:r>
          </w:p>
          <w:p w:rsidR="00DE1A82" w:rsidRPr="001C2DC2" w:rsidRDefault="00DE1A8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1C2DC2">
              <w:rPr>
                <w:rFonts w:asciiTheme="majorHAnsi" w:hAnsiTheme="majorHAnsi"/>
                <w:sz w:val="20"/>
                <w:szCs w:val="20"/>
              </w:rPr>
              <w:t>-</w:t>
            </w:r>
            <w:r w:rsidR="001C2DC2" w:rsidRPr="001C2DC2">
              <w:rPr>
                <w:rFonts w:asciiTheme="majorHAnsi" w:hAnsiTheme="majorHAnsi"/>
                <w:sz w:val="20"/>
                <w:szCs w:val="20"/>
              </w:rPr>
              <w:t>Performing Impromptu speeches</w:t>
            </w:r>
          </w:p>
          <w:p w:rsidR="00DE1A82" w:rsidRPr="001C2DC2" w:rsidRDefault="00DE1A82" w:rsidP="00506C8C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516C5" w:rsidRPr="001C2DC2" w:rsidRDefault="00B516C5" w:rsidP="00B516C5">
      <w:pPr>
        <w:rPr>
          <w:rFonts w:asciiTheme="majorHAnsi" w:hAnsiTheme="majorHAnsi"/>
        </w:rPr>
      </w:pPr>
    </w:p>
    <w:p w:rsidR="00B516C5" w:rsidRPr="001C2DC2" w:rsidRDefault="00B516C5" w:rsidP="00B516C5">
      <w:pPr>
        <w:rPr>
          <w:rFonts w:asciiTheme="majorHAnsi" w:hAnsiTheme="majorHAnsi"/>
        </w:rPr>
      </w:pPr>
    </w:p>
    <w:sectPr w:rsidR="00B516C5" w:rsidRPr="001C2DC2" w:rsidSect="00506C8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19A" w:rsidRDefault="0051519A" w:rsidP="00EE19D1">
      <w:pPr>
        <w:spacing w:after="0" w:line="240" w:lineRule="auto"/>
      </w:pPr>
      <w:r>
        <w:separator/>
      </w:r>
    </w:p>
  </w:endnote>
  <w:endnote w:type="continuationSeparator" w:id="1">
    <w:p w:rsidR="0051519A" w:rsidRDefault="0051519A" w:rsidP="00EE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19A" w:rsidRDefault="0051519A" w:rsidP="00EE19D1">
      <w:pPr>
        <w:spacing w:after="0" w:line="240" w:lineRule="auto"/>
      </w:pPr>
      <w:r>
        <w:separator/>
      </w:r>
    </w:p>
  </w:footnote>
  <w:footnote w:type="continuationSeparator" w:id="1">
    <w:p w:rsidR="0051519A" w:rsidRDefault="0051519A" w:rsidP="00EE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9A" w:rsidRDefault="005151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AB3"/>
    <w:multiLevelType w:val="hybridMultilevel"/>
    <w:tmpl w:val="14E4B498"/>
    <w:lvl w:ilvl="0" w:tplc="98BAA2D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61822"/>
    <w:multiLevelType w:val="multilevel"/>
    <w:tmpl w:val="7860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B516C5"/>
    <w:rsid w:val="00073416"/>
    <w:rsid w:val="001C2DC2"/>
    <w:rsid w:val="001D3A38"/>
    <w:rsid w:val="003553DE"/>
    <w:rsid w:val="003C271D"/>
    <w:rsid w:val="003F7489"/>
    <w:rsid w:val="004077DE"/>
    <w:rsid w:val="00506C8C"/>
    <w:rsid w:val="0051519A"/>
    <w:rsid w:val="00694210"/>
    <w:rsid w:val="006C1944"/>
    <w:rsid w:val="00785949"/>
    <w:rsid w:val="00855967"/>
    <w:rsid w:val="00B516C5"/>
    <w:rsid w:val="00BD07A8"/>
    <w:rsid w:val="00CA0D12"/>
    <w:rsid w:val="00CA43D3"/>
    <w:rsid w:val="00DE1A82"/>
    <w:rsid w:val="00E44AED"/>
    <w:rsid w:val="00E96814"/>
    <w:rsid w:val="00EE19D1"/>
    <w:rsid w:val="00FC5FB0"/>
    <w:rsid w:val="00FF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6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6C5"/>
    <w:pPr>
      <w:ind w:left="720"/>
      <w:contextualSpacing/>
    </w:pPr>
  </w:style>
  <w:style w:type="paragraph" w:styleId="BodyText">
    <w:name w:val="Body Text"/>
    <w:basedOn w:val="Normal"/>
    <w:link w:val="BodyTextChar"/>
    <w:rsid w:val="00B516C5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B516C5"/>
    <w:rPr>
      <w:rFonts w:ascii="Times New Roman" w:eastAsia="Times New Roman" w:hAnsi="Times New Roman" w:cs="Times New Roman"/>
      <w:color w:val="000000"/>
      <w:sz w:val="2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51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16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CFBB-3C2A-48A6-B443-ED04515B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Lionsgate Academy Charter School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10</cp:revision>
  <cp:lastPrinted>2009-02-02T16:14:00Z</cp:lastPrinted>
  <dcterms:created xsi:type="dcterms:W3CDTF">2009-01-22T18:36:00Z</dcterms:created>
  <dcterms:modified xsi:type="dcterms:W3CDTF">2009-02-02T22:07:00Z</dcterms:modified>
</cp:coreProperties>
</file>